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2" w:rsidRPr="00877914" w:rsidRDefault="00D4082F" w:rsidP="000A0390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Tacuarembó, 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de abril</w:t>
      </w:r>
      <w:r w:rsidR="003D06E2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 2019</w:t>
      </w:r>
      <w:r w:rsidR="000A03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</w:p>
    <w:p w:rsidR="00383902" w:rsidRPr="002B00F6" w:rsidRDefault="008D0D8E" w:rsidP="000A0390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0A039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</w:t>
      </w:r>
      <w:r w:rsidR="002B00F6" w:rsidRPr="000A039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.</w:t>
      </w:r>
      <w:r w:rsidR="000A0390" w:rsidRPr="000A039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="002B00F6" w:rsidRPr="000A039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12/19.-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 4 de </w:t>
      </w:r>
      <w:r w:rsidR="000A03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los ctes.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, la Junta Departamental de Tacuarembó se sancionó por mayoría de 21 </w:t>
      </w:r>
      <w:r w:rsidR="000A0390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votos 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en 30 Ediles presentes, la siguiente Resolución:</w:t>
      </w:r>
    </w:p>
    <w:p w:rsidR="00872FB4" w:rsidRPr="00467EC1" w:rsidRDefault="00872FB4" w:rsidP="000A039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87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Pr="00C00E3E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el </w:t>
      </w:r>
      <w:r w:rsidRPr="00432C08">
        <w:rPr>
          <w:rFonts w:ascii="Times New Roman" w:hAnsi="Times New Roman" w:cs="Times New Roman"/>
          <w:sz w:val="24"/>
          <w:szCs w:val="24"/>
        </w:rPr>
        <w:t xml:space="preserve">Expediente Interno Nº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432C08">
        <w:rPr>
          <w:rFonts w:ascii="Times New Roman" w:hAnsi="Times New Roman" w:cs="Times New Roman"/>
          <w:sz w:val="24"/>
          <w:szCs w:val="24"/>
        </w:rPr>
        <w:t>/18 caratulado</w:t>
      </w:r>
      <w:r w:rsidRPr="004C0D7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32C0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NTENDENCIA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DEPARTAMENTAL DE TACUAREMBO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; eleva Exp. Nº </w:t>
      </w:r>
      <w:r>
        <w:rPr>
          <w:rFonts w:ascii="Times New Roman" w:hAnsi="Times New Roman" w:cs="Times New Roman"/>
          <w:i/>
          <w:sz w:val="24"/>
          <w:szCs w:val="24"/>
        </w:rPr>
        <w:t>1377</w:t>
      </w:r>
      <w:r w:rsidRPr="00432C08">
        <w:rPr>
          <w:rFonts w:ascii="Times New Roman" w:hAnsi="Times New Roman" w:cs="Times New Roman"/>
          <w:i/>
          <w:sz w:val="24"/>
          <w:szCs w:val="24"/>
        </w:rPr>
        <w:t>/1</w:t>
      </w:r>
      <w:r>
        <w:rPr>
          <w:rFonts w:ascii="Times New Roman" w:hAnsi="Times New Roman" w:cs="Times New Roman"/>
          <w:i/>
          <w:sz w:val="24"/>
          <w:szCs w:val="24"/>
        </w:rPr>
        <w:t>4,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 solicitando anuencia para adquirir</w:t>
      </w:r>
      <w:r>
        <w:rPr>
          <w:rFonts w:ascii="Times New Roman" w:hAnsi="Times New Roman" w:cs="Times New Roman"/>
          <w:i/>
          <w:sz w:val="24"/>
          <w:szCs w:val="24"/>
        </w:rPr>
        <w:t xml:space="preserve"> 14 hectáreas de parte del </w:t>
      </w:r>
      <w:r w:rsidRPr="00432C08">
        <w:rPr>
          <w:rFonts w:ascii="Times New Roman" w:hAnsi="Times New Roman" w:cs="Times New Roman"/>
          <w:i/>
          <w:sz w:val="24"/>
          <w:szCs w:val="24"/>
        </w:rPr>
        <w:t xml:space="preserve">Padrón </w:t>
      </w:r>
      <w:r>
        <w:rPr>
          <w:rFonts w:ascii="Times New Roman" w:hAnsi="Times New Roman" w:cs="Times New Roman"/>
          <w:i/>
          <w:sz w:val="24"/>
          <w:szCs w:val="24"/>
        </w:rPr>
        <w:t>Nº 3209, sito en la 15º Sección Catastral de Tacuarembó, por título compraventa y modo tradición</w:t>
      </w:r>
      <w:r w:rsidR="00A508E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 la propietaria Sra. Susana Begu</w:t>
      </w:r>
      <w:r w:rsidR="00933F21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 xml:space="preserve"> Ciancio, donde se encuentra el vertedero de Achar</w:t>
      </w:r>
      <w:r w:rsidRPr="00432C08">
        <w:rPr>
          <w:rFonts w:ascii="Times New Roman" w:hAnsi="Times New Roman" w:cs="Times New Roman"/>
          <w:i/>
          <w:sz w:val="24"/>
          <w:szCs w:val="24"/>
        </w:rPr>
        <w:t>”</w:t>
      </w:r>
      <w:r w:rsidRPr="003C55EA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;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</w:t>
      </w:r>
      <w:r w:rsidRPr="00432C0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--------------------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I</w:t>
      </w:r>
      <w:r w:rsidRPr="00C00E3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por Oficio Nº 297/2018 de fecha 10 de agosto de 2018, el Ejecutivo Departamental solicita anuencia para adquirir a la Sra. Susana Begu</w:t>
      </w:r>
      <w:r w:rsidR="00933F2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Ciancio, por título compraventa y modo tradición, 14 hectáreas que forman parte del padrón Nº 3209 de la 15ª Sección Catastral de Tacuarembó, </w:t>
      </w:r>
      <w:r w:rsidR="00A508E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superficie que viene siendo utilizada desde tiempo atrás como vertedero de Pueblo “</w:t>
      </w:r>
      <w:r w:rsidR="00A508E1" w:rsidRPr="00A508E1"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>Achar</w:t>
      </w:r>
      <w:r w:rsidR="00A508E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” con lo cual esta adquisición viene a regularizar una situación de hecho,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por el precio de U.I. 234.357,566 (Unidades Indexadas doscientas treinta y cuatro mil trescientas cincuenta y siete con quinientos sesenta y seis);---------------- 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II</w:t>
      </w:r>
      <w:r w:rsidRPr="00C00E3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la Comisión de Finanzas y Presupuestos solicitó al Ejecutivo mediante Oficio Nº 722/2018, la remisión de un plano de mensura del citado lugar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; --------- 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RESULTANDO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III</w:t>
      </w:r>
      <w:r w:rsidRPr="00C00E3E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que en cumplimiento de lo solicitado, el Sr. Intendente Departamental remitió plano de mensura</w:t>
      </w:r>
      <w:r w:rsidR="00A508E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realizado por el Agrimensor Marcos Alonso, el cual obra a fs</w:t>
      </w:r>
      <w:r w:rsidR="00A508E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42 y 43 de este expediente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------------------------------------------------------------------------------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I;</w:t>
      </w:r>
      <w:r w:rsidRPr="001D5506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que según informó el Encargado de la Junta Local de Achar en su nota del 26 de diciembre de 2013, desde el año 1996 se ha venido utilizando la superficie a adquirir</w:t>
      </w:r>
      <w:r w:rsidR="00A508E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como basurero de la </w:t>
      </w:r>
      <w:r w:rsidR="00A508E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ocalidad de </w:t>
      </w:r>
      <w:r w:rsidRPr="00A508E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s-ES_tradnl" w:eastAsia="es-ES"/>
        </w:rPr>
        <w:t>Achar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 tratándose de un predio privado propiedad de la Sra. Susana Begu</w:t>
      </w:r>
      <w:r w:rsidR="00933F2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é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Ciancio, arrendado al Sr. Gambetta, quien ha manifestado tener inconvenientes con la presencia de este vertedero</w:t>
      </w:r>
      <w:r w:rsidR="00933F2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 podrían solucionarse con un tejido que impida que vuelen plásticos y basura al resto del inmueble;-----------------------------------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B54E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I</w:t>
      </w:r>
      <w:r w:rsidRPr="00B54E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a efectos de solucionar este inconveniente, corresponde en primer lugar adquirir la superficie ocupada por el vertedero y posteriormente proceder a su cercado</w:t>
      </w:r>
      <w:r w:rsidR="002B00F6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------------------------------------------------------------------------------------------------------</w:t>
      </w:r>
    </w:p>
    <w:p w:rsidR="00872FB4" w:rsidRPr="00B54EA9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573F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CONSIDERANDO III</w:t>
      </w:r>
      <w:r w:rsidR="00933F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que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en cumplimiento de lo previsto en el artículo 39 del TOCAF, se agregó a fs.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23,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tasación efectuada por la Dirección Nacional del Catastro</w:t>
      </w:r>
      <w:r w:rsidR="00A508E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,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la cual fijó el valor venal de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la superficie a adquirir en la 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suma de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234.357,566 </w:t>
      </w:r>
      <w:r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Unidades Indexadas</w:t>
      </w:r>
      <w:r w:rsidR="002B00F6" w:rsidRPr="00B54EA9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; ----------------</w:t>
      </w:r>
    </w:p>
    <w:p w:rsidR="00872FB4" w:rsidRDefault="00872FB4" w:rsidP="000A0390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lastRenderedPageBreak/>
        <w:t>CONSIDERANDO 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V</w:t>
      </w:r>
      <w:r w:rsidRPr="001D55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;</w:t>
      </w:r>
      <w:r w:rsidRPr="001D5506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que según surge </w:t>
      </w:r>
      <w:r w:rsidR="00933F21"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fs. 28, la propietaria del bien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acepta como precio de la futura compraventa la referida suma en Unidades Indexadas, la cual deberá convertirse a pesos uruguayos al valor de la fecha de la efectiva compra;------------------------------------------</w:t>
      </w:r>
    </w:p>
    <w:p w:rsidR="00872FB4" w:rsidRPr="00373A39" w:rsidRDefault="00872FB4" w:rsidP="000A0390">
      <w:pPr>
        <w:spacing w:after="120" w:line="264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ATENTO;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a lo precedentemente expuesto, y a lo preceptuado por el Artículo 273 Nral. 1 de la Constitución de la República, y lo dispuesto por el Artículo 36 Nral. 1 de la Ley 9.515 y artículos 39 y concordantes del TOCAF</w:t>
      </w:r>
      <w:r w:rsidR="002B00F6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; -----------------------------------------------------------</w:t>
      </w:r>
    </w:p>
    <w:p w:rsidR="00872FB4" w:rsidRPr="003E6E4F" w:rsidRDefault="00872FB4" w:rsidP="000A0390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3E6E4F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LA JUNTA DEPARTAMENTAL DE TACUAREMBO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;</w:t>
      </w:r>
    </w:p>
    <w:p w:rsidR="00872FB4" w:rsidRPr="000A0390" w:rsidRDefault="00872FB4" w:rsidP="000A0390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</w:pPr>
      <w:r w:rsidRPr="000A0390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  <w:u w:val="single"/>
        </w:rPr>
        <w:t>R E S U E L V E:</w:t>
      </w:r>
    </w:p>
    <w:p w:rsidR="00872FB4" w:rsidRDefault="00872FB4" w:rsidP="000A0390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 w:line="264" w:lineRule="auto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B42F12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1ro.-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D62D0D">
        <w:rPr>
          <w:rFonts w:ascii="Times New Roman" w:hAnsi="Times New Roman"/>
          <w:sz w:val="24"/>
          <w:szCs w:val="24"/>
        </w:rPr>
        <w:t>Conceder</w:t>
      </w:r>
      <w:r>
        <w:rPr>
          <w:rFonts w:ascii="Times New Roman" w:hAnsi="Times New Roman"/>
          <w:sz w:val="24"/>
          <w:szCs w:val="24"/>
        </w:rPr>
        <w:t xml:space="preserve"> la anuencia solicitada por el Ejecutivo Departamental previo dictamen del Tribunal de Cuentas de la República</w:t>
      </w:r>
      <w:r w:rsidR="00D62D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para adquirir a la 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Sra. Susana Begu</w:t>
      </w:r>
      <w:r w:rsidR="00933F21">
        <w:rPr>
          <w:rFonts w:ascii="Times New Roman" w:hAnsi="Times New Roman"/>
          <w:spacing w:val="2"/>
          <w:position w:val="-2"/>
          <w:sz w:val="24"/>
          <w:szCs w:val="24"/>
        </w:rPr>
        <w:t>é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Ciancio, por título compraventa y modo tradición, 14 hectáreas que forman parte del padrón Nº 3209 de la 15ª Sección Catastral de Tacuarembó, según plano de mensura que obra a fojas 42 y 43, por el precio de Unidades Indexadas doscientas treinta y cuatro mil trescientas cincuenta y siete con quinientos sesenta y seis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 xml:space="preserve"> (U.I. 234.357,566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), cuyo destino será continuar siendo utilizad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como vertedero de Pueblo 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“</w:t>
      </w:r>
      <w:r w:rsidRPr="00D62D0D">
        <w:rPr>
          <w:rFonts w:ascii="Times New Roman" w:hAnsi="Times New Roman"/>
          <w:i/>
          <w:spacing w:val="2"/>
          <w:position w:val="-2"/>
          <w:sz w:val="24"/>
          <w:szCs w:val="24"/>
        </w:rPr>
        <w:t>Achar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”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, tal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como sucede desde 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el año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1996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.</w:t>
      </w:r>
      <w:r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</w:p>
    <w:p w:rsidR="00872FB4" w:rsidRPr="00C6152D" w:rsidRDefault="00872FB4" w:rsidP="000A0390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 w:line="264" w:lineRule="auto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D62D0D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2do</w:t>
      </w:r>
      <w:r w:rsidRPr="00D62D0D">
        <w:rPr>
          <w:rFonts w:ascii="Times New Roman" w:hAnsi="Times New Roman"/>
          <w:spacing w:val="2"/>
          <w:position w:val="-2"/>
          <w:sz w:val="28"/>
          <w:szCs w:val="28"/>
          <w:u w:val="single"/>
        </w:rPr>
        <w:t>.-</w:t>
      </w:r>
      <w:r w:rsidRPr="00D62D0D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690A6D" w:rsidRPr="00C6152D">
        <w:rPr>
          <w:rFonts w:ascii="Times New Roman" w:hAnsi="Times New Roman"/>
          <w:spacing w:val="2"/>
          <w:position w:val="-2"/>
          <w:sz w:val="24"/>
          <w:szCs w:val="24"/>
        </w:rPr>
        <w:t xml:space="preserve">Instar </w:t>
      </w:r>
      <w:r w:rsidRPr="00C6152D">
        <w:rPr>
          <w:rFonts w:ascii="Times New Roman" w:hAnsi="Times New Roman"/>
          <w:spacing w:val="2"/>
          <w:position w:val="-2"/>
          <w:sz w:val="24"/>
          <w:szCs w:val="24"/>
        </w:rPr>
        <w:t>a la Intendencia Departamental de Tacuarembó,</w:t>
      </w:r>
      <w:r w:rsidR="00C6152D" w:rsidRPr="00C6152D">
        <w:rPr>
          <w:rFonts w:ascii="Times New Roman" w:hAnsi="Times New Roman"/>
          <w:spacing w:val="2"/>
          <w:position w:val="-2"/>
          <w:sz w:val="24"/>
          <w:szCs w:val="24"/>
        </w:rPr>
        <w:t xml:space="preserve"> a tomar los recaudos necesarios para minimizar el impacto medioambiental que provoca el vertedero</w:t>
      </w:r>
      <w:r w:rsidR="00D62D0D">
        <w:rPr>
          <w:rFonts w:ascii="Times New Roman" w:hAnsi="Times New Roman"/>
          <w:spacing w:val="2"/>
          <w:position w:val="-2"/>
          <w:sz w:val="24"/>
          <w:szCs w:val="24"/>
        </w:rPr>
        <w:t>.</w:t>
      </w:r>
    </w:p>
    <w:p w:rsidR="00872FB4" w:rsidRDefault="00872FB4" w:rsidP="000A0390">
      <w:pPr>
        <w:pStyle w:val="Sinespaciado"/>
        <w:tabs>
          <w:tab w:val="left" w:pos="284"/>
          <w:tab w:val="left" w:pos="708"/>
          <w:tab w:val="left" w:pos="1416"/>
          <w:tab w:val="left" w:pos="2124"/>
          <w:tab w:val="left" w:pos="3522"/>
        </w:tabs>
        <w:spacing w:after="120" w:line="264" w:lineRule="auto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872FB4">
        <w:rPr>
          <w:rFonts w:ascii="Times New Roman" w:hAnsi="Times New Roman"/>
          <w:b/>
          <w:spacing w:val="2"/>
          <w:position w:val="-2"/>
          <w:sz w:val="28"/>
          <w:szCs w:val="28"/>
          <w:u w:val="single"/>
        </w:rPr>
        <w:t>3ero.-</w:t>
      </w:r>
      <w:r w:rsidRPr="00D62D0D">
        <w:rPr>
          <w:rFonts w:ascii="Times New Roman" w:hAnsi="Times New Roman"/>
          <w:spacing w:val="2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Comuníquese en forma inmediata al Tribunal de Cuentas de la República, a todos sus efectos.</w:t>
      </w:r>
    </w:p>
    <w:p w:rsidR="00872FB4" w:rsidRDefault="00872FB4" w:rsidP="000A0390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54078C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</w:t>
      </w:r>
      <w:r w:rsidR="00CE0385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a lo</w:t>
      </w:r>
      <w:r w:rsidR="00D4082F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s cuatro días del mes de abril </w:t>
      </w:r>
      <w:r w:rsidR="00CE0385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de</w:t>
      </w:r>
      <w:r w:rsidR="00D62D0D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l año dos mil diecinueve.</w:t>
      </w:r>
    </w:p>
    <w:p w:rsidR="002B00F6" w:rsidRPr="00D56871" w:rsidRDefault="002B00F6" w:rsidP="002B00F6">
      <w:pPr>
        <w:spacing w:after="60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       </w:t>
      </w:r>
      <w:r w:rsidRP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 w:rsidRPr="00D56871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2B00F6" w:rsidRPr="00D56871" w:rsidRDefault="002B00F6" w:rsidP="002B00F6">
      <w:pPr>
        <w:spacing w:after="120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</w:p>
    <w:p w:rsidR="002B00F6" w:rsidRPr="00D56871" w:rsidRDefault="002B00F6" w:rsidP="002B00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Juan </w:t>
      </w:r>
      <w:r w:rsidR="000A03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EUSTATHIOU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ab/>
      </w:r>
      <w:r w:rsidR="000A03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José F</w:t>
      </w:r>
      <w:r w:rsidR="000A0390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elipe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 xml:space="preserve"> BRUNO</w:t>
      </w:r>
    </w:p>
    <w:p w:rsidR="002B00F6" w:rsidRDefault="002B00F6" w:rsidP="002B00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position w:val="-2"/>
          <w:sz w:val="24"/>
          <w:szCs w:val="24"/>
        </w:rPr>
        <w:t xml:space="preserve"> </w:t>
      </w:r>
      <w:r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Secretario General                                                              </w:t>
      </w:r>
      <w:r w:rsidR="000A0390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                </w:t>
      </w:r>
      <w:r w:rsidRPr="009D3BE4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 xml:space="preserve">     Presidente</w:t>
      </w:r>
    </w:p>
    <w:p w:rsidR="002B00F6" w:rsidRDefault="002B00F6" w:rsidP="002B00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B00F6" w:rsidRDefault="002B00F6" w:rsidP="002B00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B00F6" w:rsidRPr="009D3BE4" w:rsidRDefault="002B00F6" w:rsidP="002B00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</w:pPr>
    </w:p>
    <w:p w:rsidR="002B00F6" w:rsidRPr="00D56871" w:rsidRDefault="002B00F6" w:rsidP="002B00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</w:pPr>
      <w:r w:rsidRPr="00D56871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DGS/</w:t>
      </w:r>
      <w:r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</w:rPr>
        <w:t>ggaf</w:t>
      </w:r>
    </w:p>
    <w:p w:rsidR="002B00F6" w:rsidRDefault="002B00F6" w:rsidP="00872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2B00F6" w:rsidSect="000A0390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16BA5"/>
    <w:rsid w:val="000250BF"/>
    <w:rsid w:val="00031BF5"/>
    <w:rsid w:val="000478EF"/>
    <w:rsid w:val="0005071B"/>
    <w:rsid w:val="000762B9"/>
    <w:rsid w:val="00092251"/>
    <w:rsid w:val="00094BEC"/>
    <w:rsid w:val="000A0390"/>
    <w:rsid w:val="000A643B"/>
    <w:rsid w:val="000B148A"/>
    <w:rsid w:val="000B496C"/>
    <w:rsid w:val="000D1A07"/>
    <w:rsid w:val="000E5CC0"/>
    <w:rsid w:val="000E6ECD"/>
    <w:rsid w:val="00101A46"/>
    <w:rsid w:val="00112042"/>
    <w:rsid w:val="001146A6"/>
    <w:rsid w:val="001765D5"/>
    <w:rsid w:val="00191092"/>
    <w:rsid w:val="001B0AEB"/>
    <w:rsid w:val="001F6320"/>
    <w:rsid w:val="002135A8"/>
    <w:rsid w:val="00224E1B"/>
    <w:rsid w:val="00244C43"/>
    <w:rsid w:val="00247C5B"/>
    <w:rsid w:val="002523F8"/>
    <w:rsid w:val="00260632"/>
    <w:rsid w:val="00264E15"/>
    <w:rsid w:val="002673D5"/>
    <w:rsid w:val="00267E32"/>
    <w:rsid w:val="00271229"/>
    <w:rsid w:val="0028039E"/>
    <w:rsid w:val="00290454"/>
    <w:rsid w:val="00291EAA"/>
    <w:rsid w:val="002A0F34"/>
    <w:rsid w:val="002B00F6"/>
    <w:rsid w:val="002B2DF4"/>
    <w:rsid w:val="002D30ED"/>
    <w:rsid w:val="002E54D2"/>
    <w:rsid w:val="002E5798"/>
    <w:rsid w:val="002F6B34"/>
    <w:rsid w:val="002F76EF"/>
    <w:rsid w:val="003003C4"/>
    <w:rsid w:val="003052F1"/>
    <w:rsid w:val="00317FFE"/>
    <w:rsid w:val="00324907"/>
    <w:rsid w:val="00371519"/>
    <w:rsid w:val="00373A39"/>
    <w:rsid w:val="00374AA1"/>
    <w:rsid w:val="00376226"/>
    <w:rsid w:val="00381652"/>
    <w:rsid w:val="00383902"/>
    <w:rsid w:val="003874EC"/>
    <w:rsid w:val="00392E9D"/>
    <w:rsid w:val="00393255"/>
    <w:rsid w:val="003939FD"/>
    <w:rsid w:val="003C2DBF"/>
    <w:rsid w:val="003C55EA"/>
    <w:rsid w:val="003D06E2"/>
    <w:rsid w:val="003E6E4F"/>
    <w:rsid w:val="00401456"/>
    <w:rsid w:val="00410CFB"/>
    <w:rsid w:val="00411BEE"/>
    <w:rsid w:val="00414566"/>
    <w:rsid w:val="00421E81"/>
    <w:rsid w:val="0042441F"/>
    <w:rsid w:val="004369D7"/>
    <w:rsid w:val="00440A12"/>
    <w:rsid w:val="00447B70"/>
    <w:rsid w:val="004619F7"/>
    <w:rsid w:val="00466819"/>
    <w:rsid w:val="00467EC1"/>
    <w:rsid w:val="00470023"/>
    <w:rsid w:val="00471301"/>
    <w:rsid w:val="004A2F9B"/>
    <w:rsid w:val="004A335C"/>
    <w:rsid w:val="004A61FE"/>
    <w:rsid w:val="004C13C7"/>
    <w:rsid w:val="004C7E58"/>
    <w:rsid w:val="004D0F52"/>
    <w:rsid w:val="004F5A9C"/>
    <w:rsid w:val="0050553B"/>
    <w:rsid w:val="0053033A"/>
    <w:rsid w:val="005327FA"/>
    <w:rsid w:val="005468ED"/>
    <w:rsid w:val="00551073"/>
    <w:rsid w:val="005526CF"/>
    <w:rsid w:val="00565BCB"/>
    <w:rsid w:val="005973EB"/>
    <w:rsid w:val="005A19F1"/>
    <w:rsid w:val="005A4B23"/>
    <w:rsid w:val="005D45C5"/>
    <w:rsid w:val="005E5D15"/>
    <w:rsid w:val="0060089A"/>
    <w:rsid w:val="0060573F"/>
    <w:rsid w:val="006109A6"/>
    <w:rsid w:val="00615FDF"/>
    <w:rsid w:val="00623627"/>
    <w:rsid w:val="00624282"/>
    <w:rsid w:val="0063572E"/>
    <w:rsid w:val="0063627E"/>
    <w:rsid w:val="006406D3"/>
    <w:rsid w:val="00650CDB"/>
    <w:rsid w:val="006548DF"/>
    <w:rsid w:val="00662FF4"/>
    <w:rsid w:val="00666AB4"/>
    <w:rsid w:val="006703A5"/>
    <w:rsid w:val="00690A6D"/>
    <w:rsid w:val="006A5BF6"/>
    <w:rsid w:val="006B1B87"/>
    <w:rsid w:val="006C4432"/>
    <w:rsid w:val="006D4698"/>
    <w:rsid w:val="006D7D73"/>
    <w:rsid w:val="006E7F21"/>
    <w:rsid w:val="006F36CE"/>
    <w:rsid w:val="00705665"/>
    <w:rsid w:val="00720C1B"/>
    <w:rsid w:val="0072299C"/>
    <w:rsid w:val="0073019B"/>
    <w:rsid w:val="007429A8"/>
    <w:rsid w:val="0074496D"/>
    <w:rsid w:val="00763336"/>
    <w:rsid w:val="0077526D"/>
    <w:rsid w:val="0077646F"/>
    <w:rsid w:val="00785CB2"/>
    <w:rsid w:val="00790A89"/>
    <w:rsid w:val="007F3B6A"/>
    <w:rsid w:val="007F6999"/>
    <w:rsid w:val="00804BB9"/>
    <w:rsid w:val="00810212"/>
    <w:rsid w:val="00820DE2"/>
    <w:rsid w:val="00836B7A"/>
    <w:rsid w:val="00841250"/>
    <w:rsid w:val="00853D08"/>
    <w:rsid w:val="0085463B"/>
    <w:rsid w:val="00866331"/>
    <w:rsid w:val="008678E1"/>
    <w:rsid w:val="00872FB4"/>
    <w:rsid w:val="00877914"/>
    <w:rsid w:val="00890862"/>
    <w:rsid w:val="008967CD"/>
    <w:rsid w:val="008C3523"/>
    <w:rsid w:val="008C62CE"/>
    <w:rsid w:val="008D0D8E"/>
    <w:rsid w:val="008E2580"/>
    <w:rsid w:val="008E5F0D"/>
    <w:rsid w:val="008F2455"/>
    <w:rsid w:val="008F6C5C"/>
    <w:rsid w:val="00923CC5"/>
    <w:rsid w:val="00926414"/>
    <w:rsid w:val="00932CD2"/>
    <w:rsid w:val="00933F21"/>
    <w:rsid w:val="00934F4A"/>
    <w:rsid w:val="00942A59"/>
    <w:rsid w:val="00943B97"/>
    <w:rsid w:val="00945351"/>
    <w:rsid w:val="0094686A"/>
    <w:rsid w:val="0096455B"/>
    <w:rsid w:val="00967AC6"/>
    <w:rsid w:val="00971AE2"/>
    <w:rsid w:val="009913B2"/>
    <w:rsid w:val="009A7045"/>
    <w:rsid w:val="009B715E"/>
    <w:rsid w:val="009D3464"/>
    <w:rsid w:val="009D7DD7"/>
    <w:rsid w:val="009E078D"/>
    <w:rsid w:val="009E0EEA"/>
    <w:rsid w:val="009E28F8"/>
    <w:rsid w:val="009E4800"/>
    <w:rsid w:val="009E5823"/>
    <w:rsid w:val="009E5D2D"/>
    <w:rsid w:val="009F3CB7"/>
    <w:rsid w:val="00A45302"/>
    <w:rsid w:val="00A508E1"/>
    <w:rsid w:val="00A56FB3"/>
    <w:rsid w:val="00A604BC"/>
    <w:rsid w:val="00A70433"/>
    <w:rsid w:val="00A7403B"/>
    <w:rsid w:val="00A759E3"/>
    <w:rsid w:val="00A77646"/>
    <w:rsid w:val="00AA358D"/>
    <w:rsid w:val="00AA4675"/>
    <w:rsid w:val="00AB3B11"/>
    <w:rsid w:val="00AC5284"/>
    <w:rsid w:val="00AF1383"/>
    <w:rsid w:val="00B05F50"/>
    <w:rsid w:val="00B3676C"/>
    <w:rsid w:val="00B411F9"/>
    <w:rsid w:val="00BB2830"/>
    <w:rsid w:val="00BC6D38"/>
    <w:rsid w:val="00BC7D0D"/>
    <w:rsid w:val="00BD376C"/>
    <w:rsid w:val="00C00E3E"/>
    <w:rsid w:val="00C0118D"/>
    <w:rsid w:val="00C057D3"/>
    <w:rsid w:val="00C058B5"/>
    <w:rsid w:val="00C35080"/>
    <w:rsid w:val="00C42BB6"/>
    <w:rsid w:val="00C47A58"/>
    <w:rsid w:val="00C55070"/>
    <w:rsid w:val="00C6152D"/>
    <w:rsid w:val="00C616AB"/>
    <w:rsid w:val="00C724B9"/>
    <w:rsid w:val="00C751A8"/>
    <w:rsid w:val="00C972AE"/>
    <w:rsid w:val="00C979DA"/>
    <w:rsid w:val="00CA0FBC"/>
    <w:rsid w:val="00CD42ED"/>
    <w:rsid w:val="00CE0385"/>
    <w:rsid w:val="00D00596"/>
    <w:rsid w:val="00D01041"/>
    <w:rsid w:val="00D02AD1"/>
    <w:rsid w:val="00D03230"/>
    <w:rsid w:val="00D16DD5"/>
    <w:rsid w:val="00D2787B"/>
    <w:rsid w:val="00D320D2"/>
    <w:rsid w:val="00D36A8D"/>
    <w:rsid w:val="00D3790F"/>
    <w:rsid w:val="00D4082F"/>
    <w:rsid w:val="00D62D0D"/>
    <w:rsid w:val="00D86345"/>
    <w:rsid w:val="00D90032"/>
    <w:rsid w:val="00DA3BFE"/>
    <w:rsid w:val="00DD3B4C"/>
    <w:rsid w:val="00DD4B8E"/>
    <w:rsid w:val="00DE0F6B"/>
    <w:rsid w:val="00DE31DE"/>
    <w:rsid w:val="00DF5E53"/>
    <w:rsid w:val="00E21145"/>
    <w:rsid w:val="00E22754"/>
    <w:rsid w:val="00E26244"/>
    <w:rsid w:val="00E66A32"/>
    <w:rsid w:val="00E7277F"/>
    <w:rsid w:val="00E85965"/>
    <w:rsid w:val="00E90115"/>
    <w:rsid w:val="00E93CDC"/>
    <w:rsid w:val="00EA47EF"/>
    <w:rsid w:val="00EA60F5"/>
    <w:rsid w:val="00EA7794"/>
    <w:rsid w:val="00EC6FFE"/>
    <w:rsid w:val="00EE0E25"/>
    <w:rsid w:val="00EE2054"/>
    <w:rsid w:val="00EE28D3"/>
    <w:rsid w:val="00EF4A63"/>
    <w:rsid w:val="00F0017B"/>
    <w:rsid w:val="00F14266"/>
    <w:rsid w:val="00F16FA6"/>
    <w:rsid w:val="00F20EA3"/>
    <w:rsid w:val="00F36780"/>
    <w:rsid w:val="00F5256D"/>
    <w:rsid w:val="00F94F80"/>
    <w:rsid w:val="00F97671"/>
    <w:rsid w:val="00F97FAE"/>
    <w:rsid w:val="00FA5F36"/>
    <w:rsid w:val="00FB03D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2019-04-03T20:05:00Z</cp:lastPrinted>
  <dcterms:created xsi:type="dcterms:W3CDTF">2019-04-05T21:58:00Z</dcterms:created>
  <dcterms:modified xsi:type="dcterms:W3CDTF">2019-04-05T21:58:00Z</dcterms:modified>
</cp:coreProperties>
</file>